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2</w:t>
      </w:r>
      <w:r>
        <w:rPr>
          <w:rFonts w:hint="default" w:asciiTheme="minorEastAsia" w:hAnsiTheme="minorEastAsia" w:cstheme="minorEastAsia"/>
          <w:sz w:val="20"/>
          <w:szCs w:val="20"/>
        </w:rPr>
        <w:t>022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年第</w:t>
      </w:r>
      <w:r>
        <w:rPr>
          <w:rFonts w:hint="default" w:asciiTheme="minorEastAsia" w:hAnsiTheme="minorEastAsia" w:cstheme="minorEastAsia"/>
          <w:sz w:val="20"/>
          <w:szCs w:val="20"/>
        </w:rPr>
        <w:t>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期P</w:t>
      </w:r>
      <w:r>
        <w:rPr>
          <w:rFonts w:hint="default" w:asciiTheme="minorEastAsia" w:hAnsiTheme="minorEastAsia" w:cstheme="minorEastAsia"/>
          <w:sz w:val="20"/>
          <w:szCs w:val="20"/>
        </w:rPr>
        <w:t>54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-P</w:t>
      </w:r>
      <w:r>
        <w:rPr>
          <w:rFonts w:hint="default" w:asciiTheme="minorEastAsia" w:hAnsiTheme="minorEastAsia" w:cstheme="minorEastAsia"/>
          <w:sz w:val="20"/>
          <w:szCs w:val="20"/>
        </w:rPr>
        <w:t>70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作</w:t>
      </w:r>
      <w:r>
        <w:rPr>
          <w:rFonts w:hint="default" w:asciiTheme="minorEastAsia" w:hAnsiTheme="minorEastAsia" w:eastAsiaTheme="minorEastAsia" w:cstheme="minorEastAsia"/>
          <w:color w:val="FFFFFF" w:themeColor="background1"/>
          <w:kern w:val="0"/>
          <w:sz w:val="22"/>
          <w:szCs w:val="22"/>
          <w:lang w:eastAsia="zh-CN" w:bidi="ar"/>
          <w14:textFill>
            <w14:solidFill>
              <w14:schemeClr w14:val="bg1"/>
            </w14:solidFill>
          </w14:textFill>
        </w:rPr>
        <w:t>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者：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贾平，中国人民大学伦理学与道德建设中心研究员，华中科技大学生命伦理学研究中心研究员。</w:t>
      </w:r>
    </w:p>
    <w:p>
      <w:pPr>
        <w:pStyle w:val="6"/>
        <w:keepNext w:val="0"/>
        <w:keepLines w:val="0"/>
        <w:pageBreakBefore w:val="0"/>
        <w:widowControl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5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摘</w:t>
      </w:r>
      <w:r>
        <w:rPr>
          <w:rFonts w:hint="default" w:asciiTheme="minorEastAsia" w:hAnsiTheme="minorEastAsia" w:cstheme="minorEastAsia"/>
          <w:color w:val="FFFFFF" w:themeColor="background1"/>
          <w:kern w:val="0"/>
          <w:sz w:val="22"/>
          <w:szCs w:val="22"/>
          <w:lang w:eastAsia="zh-CN" w:bidi="ar"/>
          <w14:textFill>
            <w14:solidFill>
              <w14:schemeClr w14:val="bg1"/>
            </w14:solidFill>
          </w14:textFill>
        </w:rPr>
        <w:t>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要：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人类可遗传基因组编辑（HHGE）引发一系列伦理挑战和法律问题。HHGE的研究，以及未来可能的应用和推广，使得参与决策者面临一系列的道德两难和伦理困境。相应地，在进行相关问题的政策制定、监管和立法时，必须对HHGE涉及的道德和伦理问题进行充分的考虑和评估。除了HHGE是否可以应用的问题，还要考虑在科技不断进步的背景下，HHGE在未来操作潜在失败可能带来的风险，以及HHGE的成功应用可能对个人、社会和整个人类带来的影响。全球立法例显示，多数国家现阶段对HHGE持否定或限制态度，我国应建立起公正合理的敏捷治理架构，从而增强相关政策、监管和立法在社会中适用的正当性和适应性，并积极推动全球相关伦理和法律治理体系的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关键词：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  <w:t>人类可遗传基因组编辑；伦理治理；伦理审查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FZKT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EU-HZ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兰亭准黑简体">
    <w:altName w:val="苹方-简"/>
    <w:panose1 w:val="02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中等线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兰亭细黑_GBK">
    <w:altName w:val="苹方-简"/>
    <w:panose1 w:val="02000000000000000000"/>
    <w:charset w:val="00"/>
    <w:family w:val="auto"/>
    <w:pitch w:val="default"/>
    <w:sig w:usb0="00000000" w:usb1="00000000" w:usb2="00000016" w:usb3="00000000" w:csb0="00060007" w:csb1="00000000"/>
  </w:font>
  <w:font w:name="EU-FZ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中倩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imes New Roman Italic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dvOT46dcae81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20D8"/>
    <w:multiLevelType w:val="singleLevel"/>
    <w:tmpl w:val="60BF20D8"/>
    <w:lvl w:ilvl="0" w:tentative="0">
      <w:start w:val="1"/>
      <w:numFmt w:val="decimal"/>
      <w:pStyle w:val="4"/>
      <w:lvlText w:val="实验 %1."/>
      <w:lvlJc w:val="left"/>
      <w:pPr>
        <w:tabs>
          <w:tab w:val="left" w:pos="420"/>
        </w:tabs>
        <w:ind w:left="425" w:leftChars="0" w:hanging="425" w:firstLineChars="0"/>
      </w:pPr>
      <w:rPr>
        <w:rFonts w:hint="default" w:eastAsia="Songti SC Bold"/>
        <w:b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3433"/>
    <w:rsid w:val="4BFBB63C"/>
    <w:rsid w:val="7DBF3433"/>
    <w:rsid w:val="BF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实验"/>
    <w:basedOn w:val="1"/>
    <w:link w:val="5"/>
    <w:qFormat/>
    <w:uiPriority w:val="0"/>
    <w:pPr>
      <w:numPr>
        <w:ilvl w:val="0"/>
        <w:numId w:val="1"/>
      </w:numPr>
      <w:jc w:val="center"/>
    </w:pPr>
    <w:rPr>
      <w:rFonts w:eastAsia="Songti SC Bold" w:cs="Times New Roman" w:asciiTheme="majorAscii" w:hAnsiTheme="majorAscii"/>
      <w:b/>
      <w:sz w:val="32"/>
    </w:rPr>
  </w:style>
  <w:style w:type="character" w:customStyle="1" w:styleId="5">
    <w:name w:val="实验 Char"/>
    <w:link w:val="4"/>
    <w:qFormat/>
    <w:uiPriority w:val="0"/>
    <w:rPr>
      <w:rFonts w:eastAsia="Songti SC Bold" w:cs="Times New Roman" w:asciiTheme="majorAscii" w:hAnsiTheme="majorAscii"/>
      <w:b/>
      <w:sz w:val="32"/>
    </w:rPr>
  </w:style>
  <w:style w:type="paragraph" w:customStyle="1" w:styleId="6">
    <w:name w:val="摘要"/>
    <w:basedOn w:val="1"/>
    <w:qFormat/>
    <w:uiPriority w:val="99"/>
    <w:pPr>
      <w:pBdr>
        <w:top w:val="single" w:color="auto" w:sz="4" w:space="0"/>
      </w:pBdr>
      <w:overflowPunct w:val="0"/>
      <w:ind w:left="425" w:right="425" w:firstLine="404" w:firstLineChars="200"/>
    </w:pPr>
    <w:rPr>
      <w:rFonts w:eastAsia="方正楷体_GBK" w:cs="楷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2022-03-01T15:50:00Z</dcterms:created>
  <dc:creator>maziyue</dc:creator>
  <cp:lastModifiedBy>maziyue</cp:lastModifiedBy>
  <dcterms:modified xsi:type="dcterms:W3CDTF">2022-03-01T15:55:55Z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